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76F" w:rsidRPr="0051676F" w:rsidRDefault="0051676F" w:rsidP="0051676F">
      <w:r w:rsidRPr="0051676F">
        <w:t>Paolo Brusasco</w:t>
      </w:r>
      <w:r w:rsidRPr="0051676F">
        <w:rPr>
          <w:b/>
          <w:bCs/>
        </w:rPr>
        <w:t xml:space="preserve"> </w:t>
      </w:r>
      <w:r w:rsidRPr="0051676F">
        <w:t>insegna Archeologia e Storia dell’Arte del Vicino Oriente Antico e Archeologia e Storia dell’Arte Musulmana presso la facoltà di Lettere e Filosofia dell’Università degli Studi di Genova. Già Research Fellow dell’Università di Cambridge (UK) e supervisore di importanti scavi arche</w:t>
      </w:r>
      <w:r>
        <w:t xml:space="preserve">ologici in Iraq, Siria, Italia </w:t>
      </w:r>
      <w:r w:rsidRPr="0051676F">
        <w:t xml:space="preserve">e nel Mediterraneo, ha pubblicato </w:t>
      </w:r>
      <w:r w:rsidRPr="0051676F">
        <w:rPr>
          <w:i/>
          <w:iCs/>
        </w:rPr>
        <w:t xml:space="preserve">Family Archives and the Social Use of Space in Old Babylonian Houses at </w:t>
      </w:r>
      <w:r w:rsidRPr="0051676F">
        <w:t xml:space="preserve">Ur (Le Lettere, 2000) e </w:t>
      </w:r>
      <w:r w:rsidRPr="0051676F">
        <w:rPr>
          <w:i/>
          <w:iCs/>
        </w:rPr>
        <w:t>The Archaeology of Verbal and Nonverbal Meaning: Mesopotamian Domestic Architecture and its Textual Dimension</w:t>
      </w:r>
      <w:r w:rsidRPr="0051676F">
        <w:t xml:space="preserve"> (Oxford Archaeopress, 2007), </w:t>
      </w:r>
      <w:r w:rsidRPr="0051676F">
        <w:rPr>
          <w:i/>
          <w:iCs/>
        </w:rPr>
        <w:t>Babilonia. All’origine del mito</w:t>
      </w:r>
      <w:r>
        <w:t xml:space="preserve"> </w:t>
      </w:r>
      <w:r w:rsidRPr="0051676F">
        <w:t>(Raffaello Cortina, 2012).</w:t>
      </w:r>
      <w:r w:rsidRPr="0051676F">
        <w:rPr>
          <w:b/>
          <w:bCs/>
        </w:rPr>
        <w:t xml:space="preserve"> </w:t>
      </w:r>
      <w:r w:rsidRPr="0051676F">
        <w:t xml:space="preserve">Per Bruno Mondadori ha pubblicato </w:t>
      </w:r>
      <w:r w:rsidRPr="0051676F">
        <w:rPr>
          <w:i/>
          <w:iCs/>
        </w:rPr>
        <w:t>La Mesopotamia prima dell’Islam</w:t>
      </w:r>
      <w:r w:rsidRPr="0051676F">
        <w:t xml:space="preserve">, 2008. </w:t>
      </w:r>
    </w:p>
    <w:p w:rsidR="00A67858" w:rsidRDefault="00A67858"/>
    <w:p w:rsidR="0051676F" w:rsidRPr="0051676F" w:rsidRDefault="0051676F" w:rsidP="0051676F">
      <w:pPr>
        <w:rPr>
          <w:b/>
          <w:bCs/>
          <w:sz w:val="36"/>
          <w:szCs w:val="36"/>
        </w:rPr>
      </w:pPr>
      <w:r w:rsidRPr="0051676F">
        <w:rPr>
          <w:b/>
          <w:bCs/>
          <w:sz w:val="36"/>
          <w:szCs w:val="36"/>
        </w:rPr>
        <w:t xml:space="preserve">Primavera araba o autunno dei beni culturali? </w:t>
      </w:r>
    </w:p>
    <w:p w:rsidR="0051676F" w:rsidRDefault="0051676F" w:rsidP="0051676F">
      <w:r w:rsidRPr="0051676F">
        <w:rPr>
          <w:sz w:val="36"/>
          <w:szCs w:val="36"/>
        </w:rPr>
        <w:t>I siti violati del Medio Oriente</w:t>
      </w:r>
      <w:r>
        <w:rPr>
          <w:sz w:val="36"/>
          <w:szCs w:val="36"/>
        </w:rPr>
        <w:t xml:space="preserve"> </w:t>
      </w:r>
      <w:r w:rsidRPr="0051676F">
        <w:t>di Paolo Brusasco</w:t>
      </w:r>
    </w:p>
    <w:p w:rsidR="0051676F" w:rsidRDefault="0051676F" w:rsidP="0051676F"/>
    <w:p w:rsidR="0051676F" w:rsidRPr="0051676F" w:rsidRDefault="0051676F" w:rsidP="0051676F">
      <w:r w:rsidRPr="0051676F">
        <w:rPr>
          <w:i/>
        </w:rPr>
        <w:t>L</w:t>
      </w:r>
      <w:r w:rsidRPr="0051676F">
        <w:rPr>
          <w:i/>
          <w:iCs/>
        </w:rPr>
        <w:t xml:space="preserve">a viva testimonianza di uno studioso e di un appassionato archeologo sulle sistematiche depredazioni dei siti di Siria, Tunisia, Libia e Iraq che, all’ombra delle continue guerre e tensioni sociali, stanno disperdendo un patrimonio culturale unico di cui anche le nostre civiltà sono figlie. </w:t>
      </w:r>
    </w:p>
    <w:p w:rsidR="0051676F" w:rsidRPr="0051676F" w:rsidRDefault="0051676F" w:rsidP="0051676F">
      <w:pPr>
        <w:rPr>
          <w:i/>
          <w:iCs/>
        </w:rPr>
      </w:pPr>
    </w:p>
    <w:p w:rsidR="0051676F" w:rsidRPr="0051676F" w:rsidRDefault="0051676F" w:rsidP="0051676F">
      <w:pPr>
        <w:rPr>
          <w:b/>
          <w:bCs/>
        </w:rPr>
      </w:pPr>
      <w:r w:rsidRPr="0051676F">
        <w:rPr>
          <w:b/>
          <w:bCs/>
        </w:rPr>
        <w:t xml:space="preserve">Archeologia e identità culturale </w:t>
      </w:r>
    </w:p>
    <w:p w:rsidR="0051676F" w:rsidRPr="0051676F" w:rsidRDefault="0051676F" w:rsidP="0051676F">
      <w:r w:rsidRPr="0051676F">
        <w:t xml:space="preserve">Il disastroso danno arrecato al patrimonio culturale del Medio Oriente non riguarda solo le istituzioni museali più volte violate in occasione di recenti guerre e conflitti (si vedano i casi dell’Iraq Museum di Baghdad e del Museo Egizio del Cairo in </w:t>
      </w:r>
      <w:r w:rsidRPr="0051676F">
        <w:rPr>
          <w:i/>
          <w:iCs/>
        </w:rPr>
        <w:t>PerlaStoria Mail</w:t>
      </w:r>
      <w:r w:rsidRPr="0051676F">
        <w:t xml:space="preserve">, Numero 41-42, aprile maggio 2011). Ancora più sconcertante, e dai toni apocalittici, è il </w:t>
      </w:r>
      <w:r w:rsidRPr="0051676F">
        <w:rPr>
          <w:b/>
          <w:bCs/>
        </w:rPr>
        <w:t>continuo saccheggio</w:t>
      </w:r>
      <w:r w:rsidRPr="0051676F">
        <w:t xml:space="preserve"> che i siti archeologici stanno tuttora subendo non solo in Iraq e in Egitto ma nella maggior parte di quelle nazioni dove il vento della “Primavera araba” soffia leggero, creando tuttavia condizioni di instabilità politica che favoriscono la strumentalizzazione del patrimonio archeologico da parte di fazioni e credi religiosi contrapposti. </w:t>
      </w:r>
    </w:p>
    <w:p w:rsidR="0051676F" w:rsidRPr="0051676F" w:rsidRDefault="0051676F" w:rsidP="0051676F">
      <w:r w:rsidRPr="0051676F">
        <w:t xml:space="preserve">Nell’offrire una panoramica della depredazione dei siti di Siria, Tunisia, Libia e Iraq vorrei iniziare il racconto con un </w:t>
      </w:r>
      <w:r w:rsidRPr="0051676F">
        <w:rPr>
          <w:b/>
          <w:bCs/>
        </w:rPr>
        <w:t>illuminante episodio</w:t>
      </w:r>
      <w:r w:rsidRPr="0051676F">
        <w:t xml:space="preserve"> recentemente occorso nello Slemani Museum (il secondo per importanza in Iraq) di Sulaimaniya, capoluogo provinciale del semi-autonomo Kurdistan iracheno. Per soli 600 dollari la dirigenza museale ha riscattato (sottraendolo ai saccheggiatori) un testo sensazionale – la tavoletta cuneiforme detta “della democrazia” – uno dei più antichi attestati storici della nascita del primo sistema bicamerale dell’avventura umana. Indubbiamente sappiamo che proprio in Mesopotamia (non in Grecia) è nata l’idea stessa di democrazia, un’idea per cui, a distanza di millenni, ancora oggi dalla Tunisia alla Siria si è pronti a morire. Così come a sfidare la sorte in terre ai confini del mondo erano anche quegli antichissimi cittadini di </w:t>
      </w:r>
      <w:r w:rsidRPr="0051676F">
        <w:rPr>
          <w:b/>
          <w:bCs/>
        </w:rPr>
        <w:t>Uruk</w:t>
      </w:r>
      <w:r w:rsidRPr="0051676F">
        <w:t xml:space="preserve"> che, riunitisi nella prima assemblea bicamerale della storia umana, davano il loro benestare all’eroe Gilgamesh a conquistare il lontano Paese dei Cedri (Libano), fonte di ricchezze ineguagliate:  </w:t>
      </w:r>
    </w:p>
    <w:p w:rsidR="0051676F" w:rsidRPr="0051676F" w:rsidRDefault="0051676F" w:rsidP="0051676F"/>
    <w:p w:rsidR="0051676F" w:rsidRPr="0051676F" w:rsidRDefault="0051676F" w:rsidP="0051676F">
      <w:r w:rsidRPr="0051676F">
        <w:t>“Ascoltatemi, giovani uomini che avete combattuto con me per cinque anni! (disse Gilgamesh)…</w:t>
      </w:r>
      <w:r w:rsidRPr="0051676F">
        <w:br/>
        <w:t>Io sono inflessibile: prenderò la via per il paese lontano</w:t>
      </w:r>
      <w:r w:rsidRPr="0051676F">
        <w:br/>
        <w:t xml:space="preserve">dove vive </w:t>
      </w:r>
      <w:r w:rsidRPr="0051676F">
        <w:rPr>
          <w:u w:val="thick"/>
        </w:rPr>
        <w:t>Khumbaba</w:t>
      </w:r>
      <w:r w:rsidRPr="0051676F">
        <w:t>.</w:t>
      </w:r>
    </w:p>
    <w:p w:rsidR="0051676F" w:rsidRPr="0051676F" w:rsidRDefault="0051676F" w:rsidP="0051676F">
      <w:r w:rsidRPr="0051676F">
        <w:t>Datemi la vostra benedizione poiché ho deciso</w:t>
      </w:r>
      <w:r w:rsidRPr="0051676F">
        <w:br/>
        <w:t xml:space="preserve">di intraprendere questa impresa.” </w:t>
      </w:r>
      <w:r w:rsidRPr="0051676F">
        <w:br/>
        <w:t>(Epopea di Gilgamesh, Tavoletta II)</w:t>
      </w:r>
      <w:r w:rsidRPr="0051676F">
        <w:br/>
      </w:r>
    </w:p>
    <w:p w:rsidR="0051676F" w:rsidRPr="0051676F" w:rsidRDefault="0051676F" w:rsidP="0051676F">
      <w:r w:rsidRPr="0051676F">
        <w:t>Forse che proprio il ritorno dell’ancestrale afflato di libertà democratica, l’eroico coraggio di affrontare sfide impossibili, potrà essere di buon auspicio per la presa di coscienza dell’importanza del patrimonio culturale del Medio Oriente?</w:t>
      </w:r>
    </w:p>
    <w:p w:rsidR="0051676F" w:rsidRPr="0051676F" w:rsidRDefault="0051676F" w:rsidP="0051676F"/>
    <w:p w:rsidR="0051676F" w:rsidRDefault="0051676F" w:rsidP="0051676F">
      <w:pPr>
        <w:rPr>
          <w:b/>
          <w:bCs/>
        </w:rPr>
      </w:pPr>
    </w:p>
    <w:p w:rsidR="0051676F" w:rsidRDefault="0051676F" w:rsidP="0051676F">
      <w:pPr>
        <w:rPr>
          <w:b/>
          <w:bCs/>
        </w:rPr>
      </w:pPr>
    </w:p>
    <w:p w:rsidR="0051676F" w:rsidRPr="0051676F" w:rsidRDefault="0051676F" w:rsidP="0051676F">
      <w:pPr>
        <w:rPr>
          <w:b/>
          <w:bCs/>
        </w:rPr>
      </w:pPr>
      <w:bookmarkStart w:id="0" w:name="_GoBack"/>
      <w:bookmarkEnd w:id="0"/>
      <w:r w:rsidRPr="0051676F">
        <w:rPr>
          <w:b/>
          <w:bCs/>
        </w:rPr>
        <w:lastRenderedPageBreak/>
        <w:t xml:space="preserve">Depredazioni del patrimonio culturale </w:t>
      </w:r>
      <w:r w:rsidRPr="0051676F">
        <w:rPr>
          <w:b/>
          <w:bCs/>
        </w:rPr>
        <w:br/>
        <w:t xml:space="preserve">in Siria, Tunisia e Libia  </w:t>
      </w:r>
    </w:p>
    <w:p w:rsidR="0051676F" w:rsidRPr="0051676F" w:rsidRDefault="0051676F" w:rsidP="0051676F">
      <w:r w:rsidRPr="0051676F">
        <w:t xml:space="preserve">La strada verso la </w:t>
      </w:r>
      <w:r w:rsidRPr="0051676F">
        <w:rPr>
          <w:b/>
          <w:bCs/>
        </w:rPr>
        <w:t>democrazia</w:t>
      </w:r>
      <w:r w:rsidRPr="0051676F">
        <w:t xml:space="preserve"> per i paesi investiti dall’ondata rivoluzionaria appare in salita anche e soprattutto per la</w:t>
      </w:r>
      <w:r w:rsidRPr="0051676F">
        <w:rPr>
          <w:b/>
          <w:bCs/>
        </w:rPr>
        <w:t xml:space="preserve"> tutela dei siti archeologici</w:t>
      </w:r>
      <w:r w:rsidRPr="0051676F">
        <w:t xml:space="preserve">, per loro stessa natura e dislocazione più esposti dei musei alle incongruenze dell’instabilità politica. </w:t>
      </w:r>
    </w:p>
    <w:p w:rsidR="0051676F" w:rsidRPr="0051676F" w:rsidRDefault="0051676F" w:rsidP="0051676F">
      <w:r w:rsidRPr="0051676F">
        <w:t xml:space="preserve">In </w:t>
      </w:r>
      <w:r w:rsidRPr="0051676F">
        <w:rPr>
          <w:b/>
          <w:bCs/>
        </w:rPr>
        <w:t>Siria</w:t>
      </w:r>
      <w:r w:rsidRPr="0051676F">
        <w:t xml:space="preserve">, nonostante la censura del regime </w:t>
      </w:r>
      <w:r w:rsidRPr="0051676F">
        <w:rPr>
          <w:b/>
          <w:bCs/>
        </w:rPr>
        <w:t xml:space="preserve">sciita alawita </w:t>
      </w:r>
      <w:r w:rsidRPr="0051676F">
        <w:t xml:space="preserve">di Bashir Assad renda difficile una reale valutazione degli avvenimenti, l’agenzia di stato Sana ha battuto (nel settembre 2011) la notizia del saccheggio sistematico da parte dei ribelli (sunniti) dello straordinario sito ellenistico di </w:t>
      </w:r>
      <w:r w:rsidRPr="0051676F">
        <w:rPr>
          <w:b/>
          <w:bCs/>
        </w:rPr>
        <w:t>Apamea</w:t>
      </w:r>
      <w:r w:rsidRPr="0051676F">
        <w:t xml:space="preserve">, la città che prende il nome dalla moglie persiana (Apame) del suo fondatore Seleuco I Nicatore (300 a.C.). Già centro neolitico, quindi oggetto delle campagne levantine dei faraoni della xviii dinastia, Apamea diviene base militare e floridissimo snodo commerciale lungo il fiume Oronte in età greco-romana e bizantina, per essere poi contesa tra bizantini, musulmani e crociati. Dal settembre 2011 continua a patire gli scavi clandestini di tombaroli armati che minacciano le sparute e poco attrezzate guardie del sito, difficilmente difendibile a causa della sua estensione e imponenza monumentale. Il tipico impianto urbanistico d’età ellenistica con zonizzazione in isolati regolari ha particolarmente sofferto delle recenti spogliazioni: frammenti di mosaici (con temi neoplatonici… Ulisse, Nereidi, Socrate) che decorano i portici dell’area limitrofa al cardo, e alcuni capitelli del maestoso </w:t>
      </w:r>
      <w:r w:rsidRPr="0051676F">
        <w:rPr>
          <w:b/>
          <w:bCs/>
        </w:rPr>
        <w:t>grande colonnato</w:t>
      </w:r>
      <w:r w:rsidRPr="0051676F">
        <w:t xml:space="preserve"> voluto dall’imperatore romano Traiano (116-117 d.C.) in quello che è – con i suoi 1,85 km di lunghezza – l’asse viario più scenografico dell’antica Siria (</w:t>
      </w:r>
      <w:r w:rsidRPr="0051676F">
        <w:rPr>
          <w:b/>
          <w:bCs/>
        </w:rPr>
        <w:t>Figura 1</w:t>
      </w:r>
      <w:r w:rsidRPr="0051676F">
        <w:t xml:space="preserve">). </w:t>
      </w:r>
      <w:r w:rsidRPr="0051676F">
        <w:rPr>
          <w:rtl/>
          <w:lang w:bidi="ar-YE"/>
        </w:rPr>
        <w:t>È</w:t>
      </w:r>
      <w:r w:rsidRPr="0051676F">
        <w:t xml:space="preserve"> notizia dell’ultima ora quella riportata dall’agenzia Sana secondo cui nella città ellenistico-romana di </w:t>
      </w:r>
      <w:r w:rsidRPr="0051676F">
        <w:rPr>
          <w:b/>
          <w:bCs/>
        </w:rPr>
        <w:t>Palmira</w:t>
      </w:r>
      <w:r w:rsidRPr="0051676F">
        <w:t xml:space="preserve"> – il ricchissimo centro carovaniero che dominava la via della seta con la dinastia delle regina Zenobia – sarebbe in corso di saccheggio da parte di ribelli armati, i quali avrebbero anche trafugato decine di reperti dall’importante museo archeologico locale. La situazione è in continua evoluzione e ne daremo conto in un rapporto più dettagliato in uno dei prossimi numeri di </w:t>
      </w:r>
      <w:r w:rsidRPr="0051676F">
        <w:rPr>
          <w:i/>
          <w:iCs/>
        </w:rPr>
        <w:t>Perlastoria Mail</w:t>
      </w:r>
      <w:r w:rsidRPr="0051676F">
        <w:t xml:space="preserve">. </w:t>
      </w:r>
    </w:p>
    <w:p w:rsidR="0051676F" w:rsidRPr="0051676F" w:rsidRDefault="0051676F" w:rsidP="0051676F">
      <w:r w:rsidRPr="0051676F">
        <w:t xml:space="preserve">Al contrario, nella pur martoriata </w:t>
      </w:r>
      <w:r w:rsidRPr="0051676F">
        <w:rPr>
          <w:b/>
          <w:bCs/>
        </w:rPr>
        <w:t xml:space="preserve">Tunisia </w:t>
      </w:r>
      <w:r w:rsidRPr="0051676F">
        <w:t xml:space="preserve">del dopo Ben Ali non troviamo la stessa furia iconoclastica contro il patrimonio culturale. Se la rivoluzione tunisina ha in fondo rispettato i vetusti simboli di un passato straordinario, il problema qui è rappresentato dalla </w:t>
      </w:r>
      <w:r w:rsidRPr="0051676F">
        <w:rPr>
          <w:b/>
          <w:bCs/>
        </w:rPr>
        <w:t>corruzione del deposto regime</w:t>
      </w:r>
      <w:r w:rsidRPr="0051676F">
        <w:t xml:space="preserve"> che ha mercificato e svenduto il patrimonio culturale. La Commissione Nazionale di Indagine diretta dal noto archeologo Azedine Beschaouch, neoministro dei Beni culturali e della Salvaguardia del Patrimonio, ha appurato un incredibile traffico di reperti archeologici sottratti dai principali musei (almeno 87 pezzi dal Museo del Bardo in primis) e siti archeologici, molti dei quali recentemente rinvenuti nelle lussuose dimore dei notabili legati alla famiglia di Ben Ali. Non solo, molti di questi tesori d’arte sono stati, oltre che decontestualizzati, anche snaturati al fine di adattarli a improbabili quanto megalomani esigenze di arredamento: per esempio, in un recente sopralluogo nella villa al mare della figlia dell’ex presidente, il funzionario Fathi Bejaoui dell’inp (Istituto Nazionale del Patrimonio) ha documentato la presenza di oltre 200 preziosi reperti, tra cui antiche colonne e splendidi fregi marmorei di età romana a formare la sontuosa decorazione di un lussuoso patio. E gli esempi sono molteplici. </w:t>
      </w:r>
    </w:p>
    <w:p w:rsidR="0051676F" w:rsidRPr="0051676F" w:rsidRDefault="0051676F" w:rsidP="0051676F">
      <w:r w:rsidRPr="0051676F">
        <w:t xml:space="preserve">Emblematico è il caso di </w:t>
      </w:r>
      <w:r w:rsidRPr="0051676F">
        <w:rPr>
          <w:b/>
          <w:bCs/>
        </w:rPr>
        <w:t>Cartagine</w:t>
      </w:r>
      <w:r w:rsidRPr="0051676F">
        <w:t xml:space="preserve">, la celeberrima capitale fenicio-punica dominatrice del Mediterraneo, con la quale secondo Catone il censore non si doveva venire a patti. La </w:t>
      </w:r>
      <w:r w:rsidRPr="0051676F">
        <w:rPr>
          <w:i/>
          <w:iCs/>
        </w:rPr>
        <w:t>Delenda Carthago</w:t>
      </w:r>
      <w:r w:rsidRPr="0051676F">
        <w:t xml:space="preserve">, che venne messa a ferro e fuoco e quindi riedificata dai romani in seguito alla Terza guerra punica (146 a.C.), risulta oggi un </w:t>
      </w:r>
      <w:r w:rsidRPr="0051676F">
        <w:rPr>
          <w:b/>
          <w:bCs/>
        </w:rPr>
        <w:t>fantasma del passato</w:t>
      </w:r>
      <w:r w:rsidRPr="0051676F">
        <w:t>, le sue vestigia sottratte all’autorità pubblica e obliterate dall’</w:t>
      </w:r>
      <w:r w:rsidRPr="0051676F">
        <w:rPr>
          <w:b/>
          <w:bCs/>
        </w:rPr>
        <w:t>incalzante costruzione</w:t>
      </w:r>
      <w:r w:rsidRPr="0051676F">
        <w:t xml:space="preserve"> di improbabili </w:t>
      </w:r>
      <w:r w:rsidRPr="0051676F">
        <w:rPr>
          <w:b/>
          <w:bCs/>
        </w:rPr>
        <w:t xml:space="preserve">quartieri residenziali </w:t>
      </w:r>
      <w:r w:rsidRPr="0051676F">
        <w:t xml:space="preserve">edificati perlopiù durante il ventennio di governo dell’ex dittatore per soddisfare i bisogni di lusso dei suoi scriteriati accoliti. Il danno è tanto più grave se si pensa che tra il 1973 e il 1983 proprio Azedine Beschaouch l’aveva salvata dall’incuria con una decennale campagna di scavi internazionali che le avevano fruttato l’inserimento nella lista del patrimonio mondiale dell’unesco (1979). </w:t>
      </w:r>
    </w:p>
    <w:p w:rsidR="0051676F" w:rsidRPr="0051676F" w:rsidRDefault="0051676F" w:rsidP="0051676F">
      <w:r w:rsidRPr="0051676F">
        <w:t xml:space="preserve">Mentre l’Interpol, di concerto col nuovo governo tunisino, sta cercando di intercettare nel mercato antiquario (anche telematico) centinaia di inestimabili oggetti punico-romani, non ci rimane che deplorare l’ennesima costruzione di una </w:t>
      </w:r>
      <w:r w:rsidRPr="0051676F">
        <w:rPr>
          <w:b/>
          <w:bCs/>
        </w:rPr>
        <w:t>base militare</w:t>
      </w:r>
      <w:r w:rsidRPr="0051676F">
        <w:t xml:space="preserve"> nel bel mezzo delle rovine di un altro sito archeologico patrimonio dell’unesco: la mitica </w:t>
      </w:r>
      <w:r w:rsidRPr="0051676F">
        <w:rPr>
          <w:b/>
          <w:bCs/>
        </w:rPr>
        <w:t>Leptis Magna</w:t>
      </w:r>
      <w:r w:rsidRPr="0051676F">
        <w:t xml:space="preserve">, gioiello punico-romano utilizzato dal deposto dittatore Muammar Gheddafi come “scudo archeologico” nell’imminenza della missione della nato contro la </w:t>
      </w:r>
      <w:r w:rsidRPr="0051676F">
        <w:rPr>
          <w:b/>
          <w:bCs/>
        </w:rPr>
        <w:t>Libia</w:t>
      </w:r>
      <w:r w:rsidRPr="0051676F">
        <w:t xml:space="preserve">. A guerra ormai conclusa, le notizie circa i danni reali permangono ancora controverse: secondo il </w:t>
      </w:r>
      <w:r w:rsidRPr="0051676F">
        <w:rPr>
          <w:i/>
          <w:iCs/>
        </w:rPr>
        <w:t>Blue Shield</w:t>
      </w:r>
      <w:r w:rsidRPr="0051676F">
        <w:t xml:space="preserve"> – l’ente internazionale non governativo preposto alla tutela del patrimonio culturale durante un conflitto armato –, la presenza di postazioni di artiglieria tra le rovine, per quanto invasive, non sembrano di dimensioni tali da destare seria preoccupazione; né vi sarebbero tracce dei temuti bombardamenti dell’alleanza atlantica, attestati invece nell’altro antico centro romano di Sabratha. Tuttavia, il rapporto preliminare unesco non è affatto rassicurante a proposito del </w:t>
      </w:r>
      <w:r w:rsidRPr="0051676F">
        <w:rPr>
          <w:b/>
          <w:bCs/>
        </w:rPr>
        <w:t>patrimonio archeologico della Libia</w:t>
      </w:r>
      <w:r w:rsidRPr="0051676F">
        <w:t xml:space="preserve">: molti siti risulterebbero a rischio di </w:t>
      </w:r>
      <w:r w:rsidRPr="0051676F">
        <w:rPr>
          <w:b/>
          <w:bCs/>
        </w:rPr>
        <w:t>saccheggio</w:t>
      </w:r>
      <w:r w:rsidRPr="0051676F">
        <w:t xml:space="preserve"> per la mancanza di un piano di protezione effettivo. In particolare si lamenta la scomparsa dai caveau della Banca Nazionale Commerciale del famoso </w:t>
      </w:r>
      <w:r w:rsidRPr="0051676F">
        <w:rPr>
          <w:b/>
          <w:bCs/>
        </w:rPr>
        <w:t>Tesoro di Bengasi</w:t>
      </w:r>
      <w:r w:rsidRPr="0051676F">
        <w:t xml:space="preserve">, 8000 pezzi d’arte di assoluto pregio (di cui solo otto recuperati a oggi!), tra i quali una magnifica </w:t>
      </w:r>
      <w:r w:rsidRPr="0051676F">
        <w:rPr>
          <w:b/>
          <w:bCs/>
        </w:rPr>
        <w:t>collezione numismatica di monete d’oro, d’argento e bronzo, e monili</w:t>
      </w:r>
      <w:r w:rsidRPr="0051676F">
        <w:t xml:space="preserve"> provenienti dal tempio di Artemide a Cirene, una delle principale colonie greche nel Mediterraneo. Quella che è stata definita una delle più sensazionali rapine della storia dell’archeologia non sorprende alla luce della sorte toccata agli altrettanto splendidi tesori delle regine assire di Nimrud (nord Iraq), alcuni dei quali recentemente ricomparsi nelle case d’aste statunitensi dopo essere stati trafugati nel 2003 dalla Banca Centrale Irachena. In entrambi i contesti, i furti lasciano un alone d’ombra a dir poco inquietante sulle probabili connivenze delle autorità centrali coi trafficanti di antichità.</w:t>
      </w:r>
    </w:p>
    <w:p w:rsidR="0051676F" w:rsidRPr="0051676F" w:rsidRDefault="0051676F" w:rsidP="0051676F"/>
    <w:p w:rsidR="0051676F" w:rsidRPr="0051676F" w:rsidRDefault="0051676F" w:rsidP="0051676F">
      <w:pPr>
        <w:rPr>
          <w:b/>
          <w:bCs/>
        </w:rPr>
      </w:pPr>
      <w:r w:rsidRPr="0051676F">
        <w:rPr>
          <w:b/>
          <w:bCs/>
        </w:rPr>
        <w:t xml:space="preserve">I siti dell’Iraq: l’operazione “Antica Babilonia” dei Carabinieri italiani </w:t>
      </w:r>
      <w:r w:rsidRPr="0051676F">
        <w:rPr>
          <w:b/>
          <w:bCs/>
        </w:rPr>
        <w:br/>
        <w:t>e la missione unesco del British Museum</w:t>
      </w:r>
    </w:p>
    <w:p w:rsidR="0051676F" w:rsidRPr="0051676F" w:rsidRDefault="0051676F" w:rsidP="0051676F">
      <w:r w:rsidRPr="0051676F">
        <w:t>Ci sembra doveroso concludere con l’</w:t>
      </w:r>
      <w:r w:rsidRPr="0051676F">
        <w:rPr>
          <w:b/>
          <w:bCs/>
        </w:rPr>
        <w:t>Iraq</w:t>
      </w:r>
      <w:r w:rsidRPr="0051676F">
        <w:t>, poiché le stime dei danni censiti dopo la Seconda Guerra del Golfo del marzo/aprile 2003, sia dalla missione dei Carabinieri del Nucleo per la Tutela del Patrimonio Culturale (tpc) (2003-2006) sia dalla ricognizione del British Museum sotto l’egida dell’unesco (2008), sono assai preoccupanti. Entrambi gli interventi si sono concentrati in una delle aree più ricche dal punto di vista archeologico, ovvero l’</w:t>
      </w:r>
      <w:r w:rsidRPr="0051676F">
        <w:rPr>
          <w:b/>
          <w:bCs/>
        </w:rPr>
        <w:t>attuale provincia di Dhi Qar</w:t>
      </w:r>
      <w:r w:rsidRPr="0051676F">
        <w:t xml:space="preserve"> nell’Iraq meridionale, quel “Heartland of Cities” che, popolato ininterrottamente dall’antichità al periodo islamico, rappresenta il cuore nevralgico del primo sviluppo della civiltà urbana di Sumeri, Accadi e Babilonesi. Unica tra le forze della coalizione alleata a occuparsi della tutela del patrimonio culturale, la missione “Antica Babilonia” del reparto speciale dei Carabinieri, con sede a Nasiriyah, aveva sin dall’inizio delle operazioni (il 20 luglio 2003) evidenziato e tentato di risolvere i gravi problemi che compromettevano la salvaguardia dell’archeologia della martoriata regione. </w:t>
      </w:r>
    </w:p>
    <w:p w:rsidR="0051676F" w:rsidRPr="0051676F" w:rsidRDefault="0051676F" w:rsidP="0051676F">
      <w:r w:rsidRPr="0051676F">
        <w:t xml:space="preserve">    I Carabinieri potevano constatare come le </w:t>
      </w:r>
      <w:r w:rsidRPr="0051676F">
        <w:rPr>
          <w:b/>
          <w:bCs/>
        </w:rPr>
        <w:t>tensioni interconfessionali</w:t>
      </w:r>
      <w:r w:rsidRPr="0051676F">
        <w:t xml:space="preserve"> avessero un impatto deleterio sulla tutela dei siti: il sud dell’Iraq è la patria delle tribù di credo sciita, che, impoverite da guerre e sanzioni (si veda l’embargo sull’Iraq dopo la prima guerra del Golfo del 1990-1991) sin dalla metà degli anni novanta del Novecento, si riversano indisturbate con vanghe, pale e badili sui numerosi </w:t>
      </w:r>
      <w:r w:rsidRPr="0051676F">
        <w:rPr>
          <w:i/>
          <w:iCs/>
        </w:rPr>
        <w:t>tell</w:t>
      </w:r>
      <w:r w:rsidRPr="0051676F">
        <w:t xml:space="preserve"> (il termine arabo per designare le colline di rovine archeologiche) dell’alluvio meridionale per razziare tavolette cuneiformi, sigilli cilindrici e altri splendidi tesori, poi rivenduti da ricettatori professionisti sul mercato antiquario internazionale. Anche se per necessità limitati al loro breve mandato, i risultati conseguiti dai Carabinieri del TPC sono stati eccellenti: attraverso una capillare attività preventiva e di controllo, si sono sequestrati 1636 reperti, identificando 122 persone sospette e traendone in arresto 48. Di concerto con le autorità locali del Dipartimento di Antichità, il Nucleo TPC ha anche creato una mappa archeologica di ben 650 siti, tra cui 11 importanti aree archeologiche di età sumerica: Umma, Ibzeika, Shmeet, Larsa, Tello, Al Habid, Tell Madinah, Umm al-Aqarib, Lagash, Surghul e Eridu hanno ricevuto un regolare pattugliamento a terra e in elicottero, con operazioni sensazionali, come la famosa </w:t>
      </w:r>
      <w:r w:rsidRPr="0051676F">
        <w:rPr>
          <w:i/>
          <w:iCs/>
        </w:rPr>
        <w:t>Viper 5</w:t>
      </w:r>
      <w:r w:rsidRPr="0051676F">
        <w:t>, che sembrano uscite dal migliore film hollywoodiano (</w:t>
      </w:r>
      <w:r w:rsidRPr="0051676F">
        <w:rPr>
          <w:i/>
          <w:iCs/>
        </w:rPr>
        <w:t xml:space="preserve">raid </w:t>
      </w:r>
      <w:r w:rsidRPr="0051676F">
        <w:t xml:space="preserve">con l’uso di più elicotteri per stanare da terra e cielo i malfattori). </w:t>
      </w:r>
    </w:p>
    <w:p w:rsidR="0051676F" w:rsidRPr="0051676F" w:rsidRDefault="0051676F" w:rsidP="0051676F">
      <w:r w:rsidRPr="0051676F">
        <w:t xml:space="preserve">Paradigmatici i casi delle antiche </w:t>
      </w:r>
      <w:r w:rsidRPr="0051676F">
        <w:rPr>
          <w:b/>
          <w:bCs/>
        </w:rPr>
        <w:t>Umm al-Aqarib</w:t>
      </w:r>
      <w:r w:rsidRPr="0051676F">
        <w:t xml:space="preserve"> e </w:t>
      </w:r>
      <w:r w:rsidRPr="0051676F">
        <w:rPr>
          <w:b/>
          <w:bCs/>
        </w:rPr>
        <w:t>Ur</w:t>
      </w:r>
      <w:r w:rsidRPr="0051676F">
        <w:t>, due tra le principali città del mondo sumerico. Della prima, detta dai locali la “madre degli scorpioni”, sono impressionanti le istantanee scattate dai Carabinieri che mostrano il suolo archeologico ridotto a una specie di cratere lunare disseminato di centinaia di buche scavate dai tombaroli, debitamente ripresi in azione (</w:t>
      </w:r>
      <w:r w:rsidRPr="0051676F">
        <w:rPr>
          <w:b/>
          <w:bCs/>
        </w:rPr>
        <w:t>Figure 2-3</w:t>
      </w:r>
      <w:r w:rsidRPr="0051676F">
        <w:t xml:space="preserve">). Gravemente compromessi risultano i </w:t>
      </w:r>
      <w:r w:rsidRPr="0051676F">
        <w:rPr>
          <w:b/>
          <w:bCs/>
        </w:rPr>
        <w:t>tre edifici dell’area cerimoniale</w:t>
      </w:r>
      <w:r w:rsidRPr="0051676F">
        <w:t>: il santuario in crudo con il tempio basso e la ziqqurrat della metà del iii millennio a.C. – la più antica torre templare rinvenuta sinora in Mesopotamia – e il palazzo della dinastia locale. Anche la biblica Ur, città natale del patriarca Abramo, e splendida capitale di Ur-Nammu, è stata ripetutamente violata: la creazione della base aerea anglo-americana di Tallil nell’aprile 2003 ha alterato l’archeologia del sito, danneggiando gravemente il sacro temenos del dio lunare Nanna con l’area della celebre ziqqurrat, e i mausolei reali edificati da Ur-Nammu nel 2100 a.C. (</w:t>
      </w:r>
      <w:r w:rsidRPr="0051676F">
        <w:rPr>
          <w:b/>
          <w:bCs/>
        </w:rPr>
        <w:t>Figura 4</w:t>
      </w:r>
      <w:r w:rsidRPr="0051676F">
        <w:t xml:space="preserve">).  </w:t>
      </w:r>
    </w:p>
    <w:p w:rsidR="0051676F" w:rsidRPr="0051676F" w:rsidRDefault="0051676F" w:rsidP="0051676F">
      <w:r w:rsidRPr="0051676F">
        <w:t xml:space="preserve">Lo stesso degrado è stato riscontrato dall’ispezione effettuata dagli esperti del British Museum che hanno perlustrato, seppur in modo superficiale, </w:t>
      </w:r>
      <w:r w:rsidRPr="0051676F">
        <w:rPr>
          <w:b/>
          <w:bCs/>
        </w:rPr>
        <w:t>otto ricchissimi siti del sud dell’Iraq</w:t>
      </w:r>
      <w:r w:rsidRPr="0051676F">
        <w:t xml:space="preserve"> (Eridu, Ur, Obeid, Uruk, Larsa, Tell Aweili, Lagash e Tell al-Lahm). Di concerto con le autorità irachene, e sotto la protezione armata delle truppe britanniche di stanza a Bassora, l’archeologo John Curtis poteva verificare tre tipi di danni: quelli dovuti rispettivamente all’occupazione militare anglo-americana e irachena, al degrado ambientale causato da più di vent’anni di incuria e scarsa manutenzione, e al saccheggio da parte delle tribù locali. Per concludere, merita ricordare l’antidiluviana città di </w:t>
      </w:r>
      <w:r w:rsidRPr="0051676F">
        <w:rPr>
          <w:b/>
          <w:bCs/>
        </w:rPr>
        <w:t>Eridu</w:t>
      </w:r>
      <w:r w:rsidRPr="0051676F">
        <w:t xml:space="preserve">: </w:t>
      </w:r>
      <w:r w:rsidRPr="0051676F">
        <w:rPr>
          <w:rtl/>
          <w:lang w:bidi="ar-YE"/>
        </w:rPr>
        <w:t>«</w:t>
      </w:r>
      <w:r w:rsidRPr="0051676F">
        <w:t>Quando la regalità scese dal cielo / la regalità fu ad Eridu</w:t>
      </w:r>
      <w:r w:rsidRPr="0051676F">
        <w:rPr>
          <w:rtl/>
          <w:lang w:bidi="ar-YE"/>
        </w:rPr>
        <w:t>»</w:t>
      </w:r>
      <w:r w:rsidRPr="0051676F">
        <w:t xml:space="preserve">, così recita la </w:t>
      </w:r>
      <w:r w:rsidRPr="0051676F">
        <w:rPr>
          <w:i/>
          <w:iCs/>
        </w:rPr>
        <w:t>Lista Reale Sumerica</w:t>
      </w:r>
      <w:r w:rsidRPr="0051676F">
        <w:t xml:space="preserve">, il testo che ne fa il centro primigenio della storia umana in cui regnarono dinasti semileggendari. A Eridu, l’archeologo inglese verificò gravi danni strutturali alla celebre ziqqurrat di Enki, il dio delle acque primordiali, oltre ai consueti quanto allarmanti saccheggi di </w:t>
      </w:r>
      <w:r w:rsidRPr="0051676F">
        <w:rPr>
          <w:b/>
          <w:bCs/>
        </w:rPr>
        <w:t>mattoni iscritti e tavolette cuneiformi</w:t>
      </w:r>
      <w:r w:rsidRPr="0051676F">
        <w:t xml:space="preserve"> che celebravano la gloria di quei sovrani che avevano foggiato un’ancestrale civiltà risalente alla notte dei tempi (</w:t>
      </w:r>
      <w:r w:rsidRPr="0051676F">
        <w:rPr>
          <w:b/>
          <w:bCs/>
        </w:rPr>
        <w:t>Figura 5</w:t>
      </w:r>
      <w:r w:rsidRPr="0051676F">
        <w:t>). Dobbiamo allora pensare che la celebre “Maledizione di Akkad”, cantata dalla poesia sumerica</w:t>
      </w:r>
      <w:r>
        <w:t xml:space="preserve">, si sia tragicamente avverata? </w:t>
      </w:r>
      <w:r w:rsidRPr="0051676F">
        <w:rPr>
          <w:rFonts w:ascii="Cambria" w:hAnsi="Cambria"/>
          <w:rtl/>
          <w:lang w:bidi="ar-YE"/>
        </w:rPr>
        <w:t>»</w:t>
      </w:r>
      <w:r w:rsidRPr="0051676F">
        <w:t>Possa l’argilla dei tuoi mattoni tornare nella profondità della terra, / possa il tuo palazzo edificato con cuore gioioso essere trasformato in desolate macerie</w:t>
      </w:r>
      <w:r>
        <w:rPr>
          <w:rFonts w:ascii="Cambria" w:hAnsi="Cambria"/>
        </w:rPr>
        <w:t>»</w:t>
      </w:r>
      <w:r w:rsidRPr="0051676F">
        <w:t xml:space="preserve">.  </w:t>
      </w:r>
    </w:p>
    <w:sectPr w:rsidR="0051676F" w:rsidRPr="0051676F" w:rsidSect="00BF58D0">
      <w:footerReference w:type="even" r:id="rId7"/>
      <w:footerReference w:type="default" r:id="rId8"/>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76F" w:rsidRDefault="0051676F" w:rsidP="0051676F">
      <w:r>
        <w:separator/>
      </w:r>
    </w:p>
  </w:endnote>
  <w:endnote w:type="continuationSeparator" w:id="0">
    <w:p w:rsidR="0051676F" w:rsidRDefault="0051676F" w:rsidP="00516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76F" w:rsidRDefault="0051676F" w:rsidP="00C8758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51676F" w:rsidRDefault="0051676F" w:rsidP="0051676F">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76F" w:rsidRDefault="0051676F" w:rsidP="00C8758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51676F" w:rsidRDefault="0051676F" w:rsidP="0051676F">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76F" w:rsidRDefault="0051676F" w:rsidP="0051676F">
      <w:r>
        <w:separator/>
      </w:r>
    </w:p>
  </w:footnote>
  <w:footnote w:type="continuationSeparator" w:id="0">
    <w:p w:rsidR="0051676F" w:rsidRDefault="0051676F" w:rsidP="005167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76F"/>
    <w:rsid w:val="0051676F"/>
    <w:rsid w:val="00A6785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C48D2E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51676F"/>
    <w:pPr>
      <w:tabs>
        <w:tab w:val="center" w:pos="4819"/>
        <w:tab w:val="right" w:pos="9638"/>
      </w:tabs>
    </w:pPr>
  </w:style>
  <w:style w:type="character" w:customStyle="1" w:styleId="PidipaginaCarattere">
    <w:name w:val="Piè di pagina Carattere"/>
    <w:basedOn w:val="Caratterepredefinitoparagrafo"/>
    <w:link w:val="Pidipagina"/>
    <w:uiPriority w:val="99"/>
    <w:rsid w:val="0051676F"/>
  </w:style>
  <w:style w:type="character" w:styleId="Numeropagina">
    <w:name w:val="page number"/>
    <w:basedOn w:val="Caratterepredefinitoparagrafo"/>
    <w:uiPriority w:val="99"/>
    <w:semiHidden/>
    <w:unhideWhenUsed/>
    <w:rsid w:val="0051676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51676F"/>
    <w:pPr>
      <w:tabs>
        <w:tab w:val="center" w:pos="4819"/>
        <w:tab w:val="right" w:pos="9638"/>
      </w:tabs>
    </w:pPr>
  </w:style>
  <w:style w:type="character" w:customStyle="1" w:styleId="PidipaginaCarattere">
    <w:name w:val="Piè di pagina Carattere"/>
    <w:basedOn w:val="Caratterepredefinitoparagrafo"/>
    <w:link w:val="Pidipagina"/>
    <w:uiPriority w:val="99"/>
    <w:rsid w:val="0051676F"/>
  </w:style>
  <w:style w:type="character" w:styleId="Numeropagina">
    <w:name w:val="page number"/>
    <w:basedOn w:val="Caratterepredefinitoparagrafo"/>
    <w:uiPriority w:val="99"/>
    <w:semiHidden/>
    <w:unhideWhenUsed/>
    <w:rsid w:val="005167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2291</Words>
  <Characters>13059</Characters>
  <Application>Microsoft Macintosh Word</Application>
  <DocSecurity>0</DocSecurity>
  <Lines>108</Lines>
  <Paragraphs>30</Paragraphs>
  <ScaleCrop>false</ScaleCrop>
  <Company/>
  <LinksUpToDate>false</LinksUpToDate>
  <CharactersWithSpaces>15320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1</cp:revision>
  <dcterms:created xsi:type="dcterms:W3CDTF">2012-05-25T07:43:00Z</dcterms:created>
  <dcterms:modified xsi:type="dcterms:W3CDTF">2012-05-25T07:45:00Z</dcterms:modified>
</cp:coreProperties>
</file>